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53E4" w:rsidRPr="000B53E4" w:rsidRDefault="000B53E4" w:rsidP="000B53E4">
      <w:pPr>
        <w:ind w:firstLine="56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B53E4">
        <w:rPr>
          <w:rFonts w:ascii="Times New Roman" w:hAnsi="Times New Roman" w:cs="Times New Roman"/>
          <w:b/>
          <w:sz w:val="26"/>
          <w:szCs w:val="26"/>
        </w:rPr>
        <w:t>Программа обучения в форме целевого инструктажа для работников организаций, осуществляющих операции с денежными средствами или иным имуществом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3E4">
        <w:rPr>
          <w:rFonts w:ascii="Times New Roman" w:hAnsi="Times New Roman" w:cs="Times New Roman"/>
          <w:b/>
          <w:sz w:val="24"/>
          <w:szCs w:val="24"/>
        </w:rPr>
        <w:t>Раздел 1. Институционально-правовые основы финансового мониторинга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Тема 1. Международные стандарты ПОД/ФТ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Правовые и институциональные основы международного сотрудничества в сфере ПОД/ФТ.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Формирование единой международной системы ПОД/ФТ. Организации и специализированные органы.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Международные стандарты ПОД/ФТ (40+9 Рекомендаций ФАТФ).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Тема 2. Правовое регулирование в сфере ПОД/ФТ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Национальная система ПОД/ФТ. Общая характеристика нормативных правовых актов Российской Федерации в сфере ПОД/ФТ. Последние изменения в законодательстве Российской Федерации в сфере ПОД/ФТ.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Государственная система ПОД/ФТ. Федеральные органы исполнительной власти.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Правовой статус Федеральной службы по финансовому мониторингу. Государственное регулирование в банковской сфере, на страховом рынке и рынке ценных бумаг, на рынке драгоценных металлов и драгоценных камней, в сфере федеральной почтовой связи, кредитной кооперации и микрофинансирования. Государственное регулирование других организаций, осуществляющих операции с денежными средствами или иным имуществом, не имеющих надзорных органов.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Организационная структура надзорных органов и их территориальные подразделения.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Саморегулируемые организации и их роль.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Тема 3. Надзор в сфере ПОД/ФТ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Формы надзора и виды проверок. Планирование проверок. Основания проведения проверок по вопросам ПОД/ФТ. Объекты проверки. Права проверяющего государственного органа.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Порядок проведения проверок по вопросам ПОД/ФТ в финансовых и нефинансовых организациях.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Взаимодействие Федеральной службы по финансовому мониторингу с надзорными органами.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3E4">
        <w:rPr>
          <w:rFonts w:ascii="Times New Roman" w:hAnsi="Times New Roman" w:cs="Times New Roman"/>
          <w:b/>
          <w:sz w:val="24"/>
          <w:szCs w:val="24"/>
        </w:rPr>
        <w:t>Раздел 2. Организация и осуществление внутреннего контроля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Тема 4. Права и обязанности организаций, осуществляющих операции с денежными средствами или иным имуществом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Финансовые и нефинансовые организации, представители нефинансовых отраслей и профессий. Лицензирование или специальный учет организаций, осуществляющих операции с денежными средствами или иным имуществом.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lastRenderedPageBreak/>
        <w:t>Основные права и обязанности организаций, осуществляющих операции с денежными средствами или иным имуществом. Идентификация клиентов и выгодоприобретателей; обеспечение конфиденциальности информации; фиксирование сведений; хранение информации; приостановление операций.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Порядок представления информации об операциях, подлежащих контролю, в Федеральную службу по финансовому мониторингу. Сроки представления. Способы представления. Использование АРМ "Организация". Единый формат представления информации. Рассмотрение типовых ошибок в представлении информации. Исполнение запросов Федеральной службы по финансовому мониторингу.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Тема 5. Требования к разработке правил внутреннего контроля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Лица, ответственные за разработку правил внутреннего контроля. Разработка правил внутреннего контроля. Обязательные компоненты правил внутреннего контроля. Рекомендуемые программы осуществления правил внутреннего контроля. Программа оценки риска. Программа проверки внутреннего контроля.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Порядок утверждения и согласования правил внутреннего контроля. Сроки утверждения и согласования. Основания для отказа в согласовании.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Тема 6. Критерии выявления операций, подлежащих контролю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Операции, подлежащие обязательному контролю. Критерии выявления и признаки необычных сделок как программа системы внутреннего контроля организаций, осуществляющих операции с денежными средствами или иным имуществом. Практические примеры необычных сделок.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Типологии легализации (отмывания) доходов, полученных преступным путем, и финансирования терроризма. Характерные схемы и способы легализации (отмывания) доходов, полученных преступным путем, и финансирования терроризма.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Тема 7. Ответственность за нарушение законодательства Российской Федерации в сфере ПОД/ФТ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Виды ответственности за нарушения требований законодательства Российской Федерации в сфере ПОД/ФТ (уголовная, административная, гражданско-правовая). Основания для привлечения к ответственности лиц, допустивших нарушения законодательства Российской Федерации в сфере ПОД/ФТ.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Меры административной ответственности за нарушение законодательства Российской Федерации в сфере ПОД/ФТ в рамках Кодекса Российской Федерации об административных правонарушениях и порядок их применения. Полномочия должностных лиц государственных (надзорных) органов. Пересмотр решений должностных лиц в порядке обжалования.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Тема 8. Система подготовки и обучения кадров организаций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Квалификационные требования к специальному должностному лицу. Права и обязанности специального должностного лица.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Обучение и подготовка кадров. Перечень работников, обязанных проходить обучение и подготовку по вопросам ПОД/ФТ. Формы, периодичность и сроки обучения. Обязанности руководителя организации, осуществляющей операции с денежными средствами или иным имуществом.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B53E4">
        <w:rPr>
          <w:rFonts w:ascii="Times New Roman" w:hAnsi="Times New Roman" w:cs="Times New Roman"/>
          <w:b/>
          <w:sz w:val="24"/>
          <w:szCs w:val="24"/>
        </w:rPr>
        <w:lastRenderedPageBreak/>
        <w:t>Раздел 3. Актуальные вопросы применения законодательства</w:t>
      </w:r>
    </w:p>
    <w:p w:rsidR="000B53E4" w:rsidRPr="000B53E4" w:rsidRDefault="000B53E4" w:rsidP="000B53E4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Российской Федерации в сфере ПОД/ФТ в различных секторах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53E4">
        <w:rPr>
          <w:rFonts w:ascii="Times New Roman" w:hAnsi="Times New Roman" w:cs="Times New Roman"/>
          <w:sz w:val="24"/>
          <w:szCs w:val="24"/>
        </w:rPr>
        <w:t>экономики и видах профессиональной деятельности</w:t>
      </w:r>
      <w:r w:rsidR="00B954B0">
        <w:rPr>
          <w:rFonts w:ascii="Times New Roman" w:hAnsi="Times New Roman" w:cs="Times New Roman"/>
          <w:sz w:val="24"/>
          <w:szCs w:val="24"/>
        </w:rPr>
        <w:t>.</w:t>
      </w:r>
    </w:p>
    <w:p w:rsidR="00E2165C" w:rsidRPr="000B53E4" w:rsidRDefault="000B53E4" w:rsidP="00B954B0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B53E4">
        <w:rPr>
          <w:rFonts w:ascii="Times New Roman" w:hAnsi="Times New Roman" w:cs="Times New Roman"/>
          <w:sz w:val="24"/>
          <w:szCs w:val="24"/>
        </w:rPr>
        <w:t>Проблемы исполнения законодательства Российской Федерации в сфере ПОД/ФТ с учетом особенностей деятельности организаций, осуществляющих операции с денежными средствами или</w:t>
      </w:r>
      <w:r w:rsidR="00B954B0">
        <w:rPr>
          <w:rFonts w:ascii="Times New Roman" w:hAnsi="Times New Roman" w:cs="Times New Roman"/>
          <w:sz w:val="24"/>
          <w:szCs w:val="24"/>
        </w:rPr>
        <w:t xml:space="preserve"> иным имуществом, и их клиентов.</w:t>
      </w:r>
      <w:bookmarkStart w:id="0" w:name="_GoBack"/>
      <w:bookmarkEnd w:id="0"/>
    </w:p>
    <w:sectPr w:rsidR="00E2165C" w:rsidRPr="000B53E4" w:rsidSect="000B53E4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53E4"/>
    <w:rsid w:val="000B53E4"/>
    <w:rsid w:val="00B954B0"/>
    <w:rsid w:val="00E21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B2775"/>
  <w15:chartTrackingRefBased/>
  <w15:docId w15:val="{B19A0D3A-5EC8-4440-82C2-7183DEC93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Наталия Поздеева</dc:creator>
  <cp:keywords/>
  <dc:description/>
  <cp:lastModifiedBy>Елена А. Францева</cp:lastModifiedBy>
  <cp:revision>2</cp:revision>
  <dcterms:created xsi:type="dcterms:W3CDTF">2026-07-16T10:30:00Z</dcterms:created>
  <dcterms:modified xsi:type="dcterms:W3CDTF">2026-07-16T10:30:00Z</dcterms:modified>
</cp:coreProperties>
</file>